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DD" w:rsidRDefault="002A61A4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1C250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C250C" w:rsidRDefault="001C250C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C250C" w:rsidRPr="001C250C" w:rsidRDefault="001C250C" w:rsidP="001C250C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1C250C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на </w:t>
      </w:r>
      <w:r w:rsidRPr="001C250C">
        <w:rPr>
          <w:rFonts w:ascii="Times New Roman" w:hAnsi="Times New Roman" w:cs="Times New Roman"/>
          <w:bCs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вне границ населенных пунктов в границах </w:t>
      </w:r>
    </w:p>
    <w:p w:rsidR="001C250C" w:rsidRPr="001C250C" w:rsidRDefault="001C250C" w:rsidP="001C250C">
      <w:pPr>
        <w:pStyle w:val="a3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1C250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Крымский район </w:t>
      </w:r>
    </w:p>
    <w:p w:rsidR="001C250C" w:rsidRDefault="001C250C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1C250C" w:rsidRDefault="001C250C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917FC" w:rsidRDefault="001C250C" w:rsidP="001C250C">
      <w:pPr>
        <w:pStyle w:val="a3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1C250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Критерии отнесения объектов муниципального контроля на автомобильном транспорте, городском наземном электрическом транспорте и в дорожном хозяйстве (в области автомобильного транспорта, городского наземного электрического транспорта) </w:t>
      </w:r>
    </w:p>
    <w:p w:rsidR="001C250C" w:rsidRPr="001C250C" w:rsidRDefault="001C250C" w:rsidP="001C250C">
      <w:pPr>
        <w:pStyle w:val="a3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1C250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к определенной категории риска</w:t>
      </w:r>
    </w:p>
    <w:p w:rsidR="001C250C" w:rsidRDefault="001C250C" w:rsidP="001C250C">
      <w:pPr>
        <w:pStyle w:val="a3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1C250C" w:rsidRDefault="006C1EE0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gramStart"/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Критерии отнесения объектов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контроля (надзора)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автомобильном транспорте, городском наземном электрическом транспорте и в дорожном хозяйстве </w:t>
      </w:r>
      <w:r w:rsidR="00ED1C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вне границ населенных пунктов в границах муниципального образования Крымский район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</w:t>
      </w:r>
      <w:r w:rsidR="00ED1C8A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1C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муниципальный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контроль) (в области автомобильного транспорта, городского наземного электрического транспорта) к определенной категории риска определяются </w:t>
      </w:r>
      <w:r w:rsidR="00ED1C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учетом тяжести причинения вреда (ущерба) охраняемым законом ценностям </w:t>
      </w:r>
      <w:r w:rsidR="00ED1C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>и вероятности наступления негативных событий, которые могут повлечь</w:t>
      </w:r>
      <w:proofErr w:type="gramEnd"/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причинение вреда (ущерба) охраняемым законом ценностям вследствие несоблюдения организациями, индивидуальными предпринимателями, участниками простого товарищества, получившими свидетельства об осуществлении перевозок по м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униципальным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пригородным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>маршрутам регулярных перевозок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(далее 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контролируемые лица), обязательных требований, установленных </w:t>
      </w:r>
      <w:hyperlink r:id="rId5" w:anchor="/document/43693518/entry/19101" w:history="1">
        <w:r w:rsidRPr="00B148C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пунктами 1</w:t>
        </w:r>
      </w:hyperlink>
      <w:r w:rsidRP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6" w:anchor="/document/43693518/entry/19102" w:history="1">
        <w:r w:rsidRPr="00B148C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7" w:anchor="/document/43693518/entry/19104" w:history="1">
        <w:r w:rsidRPr="00B148C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</w:t>
        </w:r>
      </w:hyperlink>
      <w:r w:rsidRP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anchor="/document/43693518/entry/19141" w:history="1">
        <w:r w:rsidRPr="00B148C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4.1</w:t>
        </w:r>
      </w:hyperlink>
      <w:r w:rsidRP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9" w:anchor="/document/43693518/entry/19107" w:history="1">
        <w:r w:rsidRPr="00B148C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7</w:t>
        </w:r>
      </w:hyperlink>
      <w:r w:rsidRP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 и </w:t>
      </w:r>
      <w:hyperlink r:id="rId10" w:anchor="/document/43693518/entry/19116" w:history="1">
        <w:r w:rsidRPr="00B148CB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16 части 1 статьи 19</w:t>
        </w:r>
      </w:hyperlink>
      <w:r w:rsidRP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 Закона Краснодарского кра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от 21 декабря 2018 г. 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> 3931</w:t>
      </w:r>
      <w:r w:rsidR="004B318F">
        <w:rPr>
          <w:rFonts w:ascii="Times New Roman" w:hAnsi="Times New Roman" w:cs="Times New Roman"/>
          <w:sz w:val="28"/>
          <w:szCs w:val="28"/>
          <w:shd w:val="clear" w:color="auto" w:fill="FFFFFF"/>
        </w:rPr>
        <w:t> - </w:t>
      </w:r>
      <w:proofErr w:type="gramStart"/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>КЗ</w:t>
      </w:r>
      <w:proofErr w:type="gramEnd"/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«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 организации регулярных перевозок пассажиров и багажа автомобильным транспортом и городским наземным электрическим транспортом </w:t>
      </w:r>
      <w:r w:rsidR="009C0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>в Краснодарском крае</w:t>
      </w:r>
      <w:r w:rsidR="00B148CB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рассчитываются по формуле:</w:t>
      </w:r>
    </w:p>
    <w:p w:rsidR="009C0D3B" w:rsidRDefault="009C0D3B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9C0D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К=</w:t>
      </w:r>
      <w:proofErr w:type="gramStart"/>
      <w:r w:rsidRPr="009C0D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proofErr w:type="gramEnd"/>
      <w:r w:rsidRPr="009C0D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> 1</w:t>
      </w:r>
      <w:r w:rsidRPr="009C0D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+П</w:t>
      </w:r>
      <w:r w:rsidRPr="009C0D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> 2</w:t>
      </w:r>
      <w:r w:rsidRPr="009C0D3B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, где:</w:t>
      </w:r>
    </w:p>
    <w:p w:rsidR="009C0D3B" w:rsidRDefault="009C0D3B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C0D3B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 – </w:t>
      </w:r>
      <w:r w:rsidRPr="009C0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критерий отнесения объектов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Pr="009C0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</w:t>
      </w:r>
      <w:r w:rsidRPr="009C0D3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определенной категории риска при осуществлении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Pr="009C0D3B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контроля;</w:t>
      </w:r>
      <w:proofErr w:type="gramEnd"/>
    </w:p>
    <w:p w:rsid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proofErr w:type="gramEnd"/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> 1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 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показатель вероятности наступления негативных событий, которые могут повлечь причинение вреда (ущерба) охраняемым законом ценностям, который определяется исходя из количества у контролируемого лица действующих карт маршрута регулярных перевозок на территории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образования Крымский район 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(суммарно по каждому маршруту):</w:t>
      </w:r>
    </w:p>
    <w:p w:rsidR="004B318F" w:rsidRPr="004B318F" w:rsidRDefault="008A3962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lastRenderedPageBreak/>
        <w:t>1-5 карт –</w:t>
      </w:r>
      <w:r w:rsidR="004B318F"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5 баллов;</w:t>
      </w:r>
    </w:p>
    <w:p w:rsidR="004B318F" w:rsidRP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6-15 карт </w:t>
      </w:r>
      <w:r w:rsid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10 баллов;</w:t>
      </w:r>
    </w:p>
    <w:p w:rsidR="004B318F" w:rsidRP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16-30 карт </w:t>
      </w:r>
      <w:r w:rsid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softHyphen/>
        <w:t xml:space="preserve"> 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15 баллов;</w:t>
      </w:r>
    </w:p>
    <w:p w:rsid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более 30 карт </w:t>
      </w:r>
      <w:r w:rsid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20 баллов.</w:t>
      </w:r>
    </w:p>
    <w:p w:rsidR="004B318F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proofErr w:type="gramEnd"/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> 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>2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 </w:t>
      </w:r>
      <w:r w:rsidR="004B318F" w:rsidRPr="004B318F">
        <w:rPr>
          <w:rFonts w:ascii="Times New Roman" w:hAnsi="Times New Roman" w:cs="Times New Roman"/>
          <w:sz w:val="28"/>
          <w:szCs w:val="28"/>
          <w:shd w:val="clear" w:color="auto" w:fill="FFFFFF"/>
        </w:rPr>
        <w:t>показатель тяжести причинения вреда (ущерба) охраняемым законом ценностям, который определяется по формуле:</w:t>
      </w:r>
    </w:p>
    <w:p w:rsid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  <w:vertAlign w:val="subscript"/>
        </w:rPr>
        <w:t xml:space="preserve">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х 10, 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где:</w:t>
      </w:r>
    </w:p>
    <w:p w:rsid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proofErr w:type="gramStart"/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Р</w:t>
      </w:r>
      <w:proofErr w:type="gramEnd"/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количество вступивших в законную силу в течение трех лет, предшествующих году отнесения объекта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муниципального 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контроля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                          </w:t>
      </w:r>
      <w:r w:rsidRPr="004B318F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к определенной категории риска, решений суда о прекращении действий свидетельств об осуществлении регулярных перевозок по маршруту регулярных перевозок.</w:t>
      </w:r>
    </w:p>
    <w:p w:rsidR="004B318F" w:rsidRDefault="004B318F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</w:t>
      </w:r>
      <w:r w:rsidRPr="004B31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Категории риска присваиваются исходя из суммы количества баллов показателей </w:t>
      </w:r>
      <w:proofErr w:type="gramStart"/>
      <w:r w:rsidRPr="004B318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4B318F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 1</w:t>
      </w:r>
      <w:r w:rsidRPr="004B318F">
        <w:rPr>
          <w:rFonts w:ascii="Times New Roman" w:hAnsi="Times New Roman" w:cs="Times New Roman"/>
          <w:sz w:val="28"/>
          <w:szCs w:val="28"/>
          <w:shd w:val="clear" w:color="auto" w:fill="FFFFFF"/>
        </w:rPr>
        <w:t> и П</w:t>
      </w:r>
      <w:r w:rsidRPr="004B318F">
        <w:rPr>
          <w:rFonts w:ascii="Times New Roman" w:hAnsi="Times New Roman" w:cs="Times New Roman"/>
          <w:sz w:val="28"/>
          <w:szCs w:val="28"/>
          <w:shd w:val="clear" w:color="auto" w:fill="FFFFFF"/>
          <w:vertAlign w:val="subscript"/>
        </w:rPr>
        <w:t> 2</w:t>
      </w:r>
      <w:r w:rsidRPr="004B318F">
        <w:rPr>
          <w:rFonts w:ascii="Times New Roman" w:hAnsi="Times New Roman" w:cs="Times New Roman"/>
          <w:sz w:val="28"/>
          <w:szCs w:val="28"/>
          <w:shd w:val="clear" w:color="auto" w:fill="FFFFFF"/>
        </w:rPr>
        <w:t> в соответствии со следующими значениями:</w:t>
      </w:r>
    </w:p>
    <w:p w:rsidR="008A3962" w:rsidRPr="008A3962" w:rsidRDefault="008A3962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категория среднего риска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</w:t>
      </w:r>
      <w:r w:rsidRP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свыше 51 балла;</w:t>
      </w:r>
    </w:p>
    <w:p w:rsidR="008A3962" w:rsidRPr="008A3962" w:rsidRDefault="008A3962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категория умеренного риска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</w:t>
      </w:r>
      <w:r w:rsidRP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36 до 50 баллов (включительно);</w:t>
      </w:r>
    </w:p>
    <w:p w:rsidR="008A3962" w:rsidRDefault="008A3962" w:rsidP="006C1EE0">
      <w:pPr>
        <w:pStyle w:val="a3"/>
        <w:ind w:firstLine="708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категория низкого риска 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–</w:t>
      </w:r>
      <w:r w:rsidRPr="008A396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от 1 до 35 баллов (включительно).</w:t>
      </w:r>
    </w:p>
    <w:p w:rsidR="008A3962" w:rsidRDefault="008A3962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6589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6589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6589" w:rsidRPr="00C10790" w:rsidRDefault="00BA6589" w:rsidP="00BA6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BA6589" w:rsidRPr="00C10790" w:rsidRDefault="00BA6589" w:rsidP="00BA6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A6589" w:rsidRPr="00364057" w:rsidRDefault="00BA6589" w:rsidP="00BA6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Е.Е. Христофорова</w:t>
      </w:r>
    </w:p>
    <w:p w:rsidR="00BA6589" w:rsidRPr="008A3962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A6589" w:rsidRPr="008A3962" w:rsidSect="00BA65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03"/>
    <w:rsid w:val="001C250C"/>
    <w:rsid w:val="002917FC"/>
    <w:rsid w:val="002A61A4"/>
    <w:rsid w:val="004B318F"/>
    <w:rsid w:val="006C1EE0"/>
    <w:rsid w:val="008A3962"/>
    <w:rsid w:val="009C0D3B"/>
    <w:rsid w:val="00B148CB"/>
    <w:rsid w:val="00BA6589"/>
    <w:rsid w:val="00BE56DD"/>
    <w:rsid w:val="00DF1B03"/>
    <w:rsid w:val="00ED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50C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C1E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50C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C1E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9</cp:revision>
  <dcterms:created xsi:type="dcterms:W3CDTF">2025-12-02T09:02:00Z</dcterms:created>
  <dcterms:modified xsi:type="dcterms:W3CDTF">2025-12-02T12:07:00Z</dcterms:modified>
</cp:coreProperties>
</file>